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2" w:rsidRPr="00987CD2" w:rsidRDefault="00987CD2" w:rsidP="00987CD2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87C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87CD2" w:rsidRPr="00987CD2" w:rsidRDefault="00987CD2" w:rsidP="00987C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87CD2" w:rsidRPr="00987CD2" w:rsidRDefault="00987CD2" w:rsidP="00987C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87C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87CD2" w:rsidRPr="00987CD2" w:rsidRDefault="00987CD2" w:rsidP="00987CD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87CD2" w:rsidRPr="00987CD2" w:rsidRDefault="00987CD2" w:rsidP="00987CD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9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87CD2" w:rsidRPr="00987CD2" w:rsidRDefault="00987CD2" w:rsidP="00987CD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87CD2" w:rsidRPr="00987CD2" w:rsidRDefault="00987CD2" w:rsidP="00987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D2" w:rsidRPr="00987CD2" w:rsidRDefault="00987CD2" w:rsidP="009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21  июня   2016   года                                                                       № 8/35</w:t>
      </w:r>
    </w:p>
    <w:p w:rsidR="00987CD2" w:rsidRPr="00987CD2" w:rsidRDefault="00987CD2" w:rsidP="00987CD2">
      <w:pPr>
        <w:rPr>
          <w:rFonts w:ascii="Times New Roman" w:hAnsi="Times New Roman" w:cs="Times New Roman"/>
          <w:sz w:val="28"/>
          <w:szCs w:val="28"/>
        </w:rPr>
      </w:pPr>
    </w:p>
    <w:p w:rsidR="00987CD2" w:rsidRPr="00987CD2" w:rsidRDefault="00987CD2" w:rsidP="00987CD2">
      <w:pPr>
        <w:rPr>
          <w:szCs w:val="28"/>
        </w:rPr>
      </w:pPr>
    </w:p>
    <w:p w:rsidR="00987CD2" w:rsidRPr="00987CD2" w:rsidRDefault="00987CD2" w:rsidP="00987CD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Календарного плана мероприятий по подготовке и проведению выборов депутатов Совета депутатов </w:t>
      </w:r>
      <w:proofErr w:type="spellStart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в единый день голосования 18 сентября 2016 года</w:t>
      </w: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7CD2" w:rsidRPr="00987CD2" w:rsidRDefault="00987CD2" w:rsidP="00987CD2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7CD2" w:rsidRPr="00987CD2" w:rsidRDefault="00987CD2" w:rsidP="00987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D2" w:rsidRPr="00987CD2" w:rsidRDefault="00987CD2" w:rsidP="00987CD2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территориальная избирательная комиссия муниципального образования «</w:t>
      </w:r>
      <w:proofErr w:type="spellStart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87CD2" w:rsidRPr="00987CD2" w:rsidRDefault="00987CD2" w:rsidP="00987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D2" w:rsidRPr="00987CD2" w:rsidRDefault="00987CD2" w:rsidP="0098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8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87CD2" w:rsidRPr="00987CD2" w:rsidRDefault="00987CD2" w:rsidP="00987CD2">
      <w:pPr>
        <w:spacing w:after="0" w:line="240" w:lineRule="auto"/>
        <w:ind w:firstLine="709"/>
        <w:jc w:val="both"/>
        <w:rPr>
          <w:b/>
        </w:rPr>
      </w:pPr>
    </w:p>
    <w:p w:rsidR="00987CD2" w:rsidRPr="00987CD2" w:rsidRDefault="00987CD2" w:rsidP="00987CD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D2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</w:t>
      </w: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Календарный план мероприятий по подготовке и проведению  выборов депутатов </w:t>
      </w:r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87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</w:t>
      </w: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день голосования 18 сентября 2016 года (прилагается).</w:t>
      </w:r>
    </w:p>
    <w:p w:rsidR="00987CD2" w:rsidRPr="00987CD2" w:rsidRDefault="00987CD2" w:rsidP="00987CD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87CD2" w:rsidRPr="00987CD2" w:rsidRDefault="00987CD2" w:rsidP="00987CD2">
      <w:pPr>
        <w:tabs>
          <w:tab w:val="left" w:pos="7938"/>
        </w:tabs>
        <w:jc w:val="both"/>
        <w:rPr>
          <w:sz w:val="28"/>
          <w:szCs w:val="28"/>
        </w:rPr>
      </w:pPr>
    </w:p>
    <w:p w:rsidR="00987CD2" w:rsidRPr="00987CD2" w:rsidRDefault="00987CD2" w:rsidP="00987CD2">
      <w:pPr>
        <w:tabs>
          <w:tab w:val="left" w:pos="7938"/>
        </w:tabs>
        <w:jc w:val="both"/>
        <w:rPr>
          <w:b/>
          <w:szCs w:val="28"/>
        </w:rPr>
      </w:pPr>
    </w:p>
    <w:p w:rsidR="00987CD2" w:rsidRPr="00987CD2" w:rsidRDefault="00987CD2" w:rsidP="00987CD2">
      <w:pPr>
        <w:tabs>
          <w:tab w:val="left" w:pos="284"/>
        </w:tabs>
        <w:spacing w:after="120" w:line="48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              О.Ю. Иванова</w:t>
      </w:r>
    </w:p>
    <w:p w:rsidR="00987CD2" w:rsidRPr="00987CD2" w:rsidRDefault="00987CD2" w:rsidP="00987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87CD2" w:rsidRPr="00987CD2" w:rsidSect="005F6779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987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</w:t>
      </w:r>
      <w:r w:rsidRPr="00987C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87C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87C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</w:t>
      </w:r>
      <w:r w:rsidRPr="00987C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В.Ф. Старовойтов</w:t>
      </w:r>
    </w:p>
    <w:p w:rsidR="00987CD2" w:rsidRPr="00987CD2" w:rsidRDefault="00987CD2" w:rsidP="00987CD2">
      <w:pPr>
        <w:keepNext/>
        <w:spacing w:after="0" w:line="240" w:lineRule="auto"/>
        <w:ind w:left="9498" w:right="-55"/>
        <w:jc w:val="center"/>
        <w:outlineLvl w:val="3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87CD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lastRenderedPageBreak/>
        <w:t>Приложение</w:t>
      </w:r>
    </w:p>
    <w:p w:rsidR="00987CD2" w:rsidRPr="00987CD2" w:rsidRDefault="00987CD2" w:rsidP="00987CD2">
      <w:pPr>
        <w:tabs>
          <w:tab w:val="left" w:pos="4395"/>
        </w:tabs>
        <w:spacing w:after="0" w:line="240" w:lineRule="auto"/>
        <w:ind w:left="9498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87CD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к постановлению </w:t>
      </w:r>
      <w:proofErr w:type="gramStart"/>
      <w:r w:rsidRPr="00987CD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территориальной</w:t>
      </w:r>
      <w:proofErr w:type="gramEnd"/>
      <w:r w:rsidRPr="00987CD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избирательной</w:t>
      </w:r>
    </w:p>
    <w:p w:rsidR="00987CD2" w:rsidRPr="00987CD2" w:rsidRDefault="00987CD2" w:rsidP="00987CD2">
      <w:pPr>
        <w:tabs>
          <w:tab w:val="left" w:pos="4395"/>
        </w:tabs>
        <w:spacing w:after="0" w:line="240" w:lineRule="auto"/>
        <w:ind w:left="9498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87CD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комиссии муниципального образования  «</w:t>
      </w:r>
      <w:proofErr w:type="spellStart"/>
      <w:r w:rsidRPr="00987CD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Рославльский</w:t>
      </w:r>
      <w:proofErr w:type="spellEnd"/>
      <w:r w:rsidRPr="00987CD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район» Смоленской области</w:t>
      </w:r>
    </w:p>
    <w:p w:rsidR="00987CD2" w:rsidRPr="00987CD2" w:rsidRDefault="00987CD2" w:rsidP="00987CD2">
      <w:pPr>
        <w:tabs>
          <w:tab w:val="left" w:pos="4395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7C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987C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 2016 года </w:t>
      </w: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7C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987CD2" w:rsidRPr="00987CD2" w:rsidRDefault="00987CD2" w:rsidP="00987CD2">
      <w:pPr>
        <w:tabs>
          <w:tab w:val="left" w:pos="439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CD2" w:rsidRPr="00987CD2" w:rsidRDefault="00987CD2" w:rsidP="00987CD2">
      <w:pPr>
        <w:tabs>
          <w:tab w:val="left" w:pos="439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CD2" w:rsidRPr="00987CD2" w:rsidRDefault="00987CD2" w:rsidP="00987CD2">
      <w:pPr>
        <w:tabs>
          <w:tab w:val="left" w:pos="439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CD2" w:rsidRPr="00987CD2" w:rsidRDefault="00987CD2" w:rsidP="00987CD2">
      <w:pPr>
        <w:spacing w:after="0" w:line="240" w:lineRule="auto"/>
        <w:ind w:left="284" w:right="396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val="x-none" w:eastAsia="x-none"/>
        </w:rPr>
      </w:pPr>
      <w:r w:rsidRPr="00987CD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x-none" w:eastAsia="x-none"/>
        </w:rPr>
        <w:t xml:space="preserve">Примерный календарный план мероприятий по подготовке и проведению выборов депутатов </w:t>
      </w:r>
      <w:r w:rsidRPr="00987CD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 xml:space="preserve">Совета депутатов </w:t>
      </w:r>
      <w:proofErr w:type="spellStart"/>
      <w:r w:rsidRPr="00987CD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>Рославльского</w:t>
      </w:r>
      <w:proofErr w:type="spellEnd"/>
      <w:r w:rsidRPr="00987CD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 xml:space="preserve"> городского поселения </w:t>
      </w:r>
      <w:proofErr w:type="spellStart"/>
      <w:r w:rsidRPr="00987CD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>Рославльского</w:t>
      </w:r>
      <w:proofErr w:type="spellEnd"/>
      <w:r w:rsidRPr="00987CD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 xml:space="preserve"> района Смоленской области третьего созыва </w:t>
      </w:r>
      <w:r w:rsidRPr="00987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 единый день голосования 18 сентября 2016 года</w:t>
      </w:r>
      <w:r w:rsidRPr="00987CD2">
        <w:rPr>
          <w:rFonts w:ascii="Times New Roman" w:eastAsia="Times New Roman" w:hAnsi="Times New Roman" w:cs="Times New Roman"/>
          <w:b/>
          <w:iCs/>
          <w:sz w:val="28"/>
          <w:szCs w:val="20"/>
          <w:lang w:val="x-none" w:eastAsia="x-none"/>
        </w:rPr>
        <w:t xml:space="preserve"> </w:t>
      </w:r>
    </w:p>
    <w:p w:rsidR="00987CD2" w:rsidRPr="00987CD2" w:rsidRDefault="00987CD2" w:rsidP="00987CD2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</w:p>
    <w:p w:rsidR="00987CD2" w:rsidRPr="00987CD2" w:rsidRDefault="00987CD2" w:rsidP="00987CD2">
      <w:pPr>
        <w:keepNext/>
        <w:widowControl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987C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Дата выборов 1</w:t>
      </w:r>
      <w:r w:rsidRPr="00987C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8</w:t>
      </w:r>
      <w:r w:rsidRPr="00987C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сентября 201</w:t>
      </w:r>
      <w:r w:rsidRPr="00987C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6</w:t>
      </w:r>
      <w:r w:rsidRPr="00987C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года</w:t>
      </w:r>
    </w:p>
    <w:p w:rsidR="00987CD2" w:rsidRPr="00987CD2" w:rsidRDefault="00987CD2" w:rsidP="00987C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  <w:gridCol w:w="2410"/>
        <w:gridCol w:w="67"/>
        <w:gridCol w:w="2909"/>
      </w:tblGrid>
      <w:tr w:rsidR="00987CD2" w:rsidRPr="00987CD2" w:rsidTr="0014119D">
        <w:trPr>
          <w:cantSplit/>
          <w:trHeight w:val="270"/>
        </w:trPr>
        <w:tc>
          <w:tcPr>
            <w:tcW w:w="675" w:type="dxa"/>
            <w:vMerge w:val="restart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09" w:type="dxa"/>
            <w:vMerge w:val="restart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87CD2" w:rsidRPr="00987CD2" w:rsidTr="0014119D">
        <w:trPr>
          <w:cantSplit/>
          <w:trHeight w:val="225"/>
        </w:trPr>
        <w:tc>
          <w:tcPr>
            <w:tcW w:w="675" w:type="dxa"/>
            <w:vMerge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</w:t>
            </w:r>
          </w:p>
        </w:tc>
        <w:tc>
          <w:tcPr>
            <w:tcW w:w="2909" w:type="dxa"/>
            <w:vMerge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rPr>
          <w:cantSplit/>
          <w:trHeight w:val="225"/>
        </w:trPr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Назначение выборов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выборов</w:t>
            </w:r>
            <w:r w:rsidRPr="0098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депутатов представительного органа муниципального образования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7 ст. 10 № 67-ФЗ</w:t>
            </w:r>
            <w:r w:rsidRPr="00987C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5 ст. 7 № 41-з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90 дней и 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80 дней до дня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июня 2016 года 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Представительный орган муниципального образования  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решения о назначении выборов</w:t>
            </w:r>
            <w:r w:rsidRPr="0098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депутатов представительного органа муниципального образования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7 ст. 10 № 67-ФЗ; п. 5 ст. 7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5 дней со дня принятия решения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2016 года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Представительный орган муниципального образования  </w:t>
            </w: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Избирательные участки, участковые комиссии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избирательных участков в местах временного пребывания избирателей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5 ст. 19 № 67-ФЗ; п. 3 ст. 11 № 41-з) 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30 дней до дня голосования, а в исключительных случаях по согласованию с вышестоящей комиссией – не позднее чем за 3 дня до дня голосования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18 августа 2016 года, а в исключительных случаях - не позднее 14 сентября 2016 года</w:t>
            </w:r>
          </w:p>
        </w:tc>
        <w:tc>
          <w:tcPr>
            <w:tcW w:w="2909" w:type="dxa"/>
          </w:tcPr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7. ст. 19 № 67-ФЗ; п. 5 ст.11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40 дней до дня голосования</w:t>
            </w:r>
          </w:p>
        </w:tc>
        <w:tc>
          <w:tcPr>
            <w:tcW w:w="2477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 2016 года</w:t>
            </w:r>
          </w:p>
        </w:tc>
        <w:tc>
          <w:tcPr>
            <w:tcW w:w="290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муниципального района (глава местной администрации поселения)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участковых комиссий на избирательных участках, образованных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местах временного пребывания избирателей, из резерва составов участковых комиссий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(п. 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27 № 67-ФЗ)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сентября 2016 года, а в исключительных случаях – не позднее 17 сентября 2016 года</w:t>
            </w:r>
          </w:p>
        </w:tc>
        <w:tc>
          <w:tcPr>
            <w:tcW w:w="290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Списки избирателей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сведений об избирателях в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 (ИКМО)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в случае образования избирательных участков в местах временного пребывания – в участковые избирательные комиссии после образования этих избирательных комиссий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Сразу после назначения дня голосования;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список избирателей составляется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участковой  комиссией, - в соответствующую участковую комиссию сразу после ее образования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Сразу после 21 июня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администрации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участку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7, 10, 11, 12 ст. 17 № 67-ФЗ;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7, 8, 9,10 ст. 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передачи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экземпляра списка избирателей участковым комиссиям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участковым комиссиям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13 ст. 17 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11 ст. 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 10 дней до дня голосования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15 ст. 17 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13 ст. 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10 дней до дня голосования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7 сентября            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комиссия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избирателей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14 ст. 17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списка избирателей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(ИКМО) и до окончания времени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С 7 сентября 2016 года до 20 часов 18 сентября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комиссия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14 ст. 17 № 67-ФЗ; п. 12 ст. 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порядком организации взаимодействия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списка избирателей и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печатью участковой комиссии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 сентября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и секретарь участковой комиссии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(Каждая книга должна быть сброшюрована (прошита), что подтверждается печатью соответствующей участковой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и подписью ее председателя)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(п.13 ст. 17 № 67-ФЗ; п.11 ст. 9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дня, предшествующего дню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 сентября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Участковая комиссия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Политические партии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Публикация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или муниципальных</w:t>
            </w:r>
            <w:r w:rsidRPr="00987CD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периодических печатных изданиях и размещение на своем официальном сайте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сети «Интернет»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списка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11 июля 2001 года № 95-ФЗ «О  политических партиях» (далее – № 95-ФЗ)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№ 67-ФЗ принимать участие в выборах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депутатов представительного органа муниципального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образования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ТИК (ИКМО)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9 ст. 35 № 67-ФЗ)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26 июня 2016 года 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Выдвижение и регистрация кандидатов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Самовыдвижение кандидатов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(Представление в ТИК (ИКМО) письменного уведомления по форме согласно приложению 1 к № 41-з и иных документов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необходимых для выдвижения кандидата в порядке самовыдвижения,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№ 41-з)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(ст. 32, 33, 34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 ст. 12, 13,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14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который начинается со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следующего за днем официального опубликования решения о назначении выборов и заканчивается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45 дней до дня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 июня 2016 года и до 21-00 часов               3 августа 2016 года 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Извещение ТИК (ИКМО) о проведении мероприятий, связанных с выдвижением кандидатов в депутаты представительных органов муниципальных образований Смоленской области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(п. 2 ст. 35 № 67-ФЗ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 «в» п. 1 ст. 27 № 95-ФЗ)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проведения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-приятия, связанного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выдвижением кандидатов, при его проведении в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преде-лах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пункта, в котором расположена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-тельная комиссия муниципального образования, и не позднее чем за три дня до дня проведения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-приятия при его проведении за пределами указан-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Политические партии (региональные отделения и иные структурные подразделения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политических партий) 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Выдвижение кандидатов избирательным объединением по многомандатным избирательным округам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(ст. 32, 33, 35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№ 67-ФЗ;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ст. 12, 13, 15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15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который начинается со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следующего за днем официального опубликования решения о назначении выборов и заканчивается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45 дней до дня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июня 2016 года и до 21-00 часов               3 августа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Избирательное объединение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(п. 14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35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 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ст. 15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трех дней со дня приема документов, ссылка на которые содержится в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 14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ст. 35 № 67-ФЗ; п. 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ст. 15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41-з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заверении списка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кандидатов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многомандатным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округам с копией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заверенного списка либо решения об отказе в его заверении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14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35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 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ст. 15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одних суток с момента принятия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решения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Представление в соответствии с пунктом 5 статьи 33                  № 67-ФЗ, пунктом 5 статьи 13 № 41-з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 документов, указанных соответственно в пунктах 2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3 статьи 33              № 67-ФЗ, пунктах 1, 2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3 статьи 13 № 41-з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(п. 14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35 № 67-ФЗ; ст. 13, п. 5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41-з)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заверения ТИК (ИКМО) списка кандидатов по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многомандатным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избирательным округам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включенные в заверенный список кандидатов по многомандатным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избирательным округам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Изменение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многомандатного избирательного округа, по которому кандидат первоначально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выдвинут, и подача письменного уведомления об этом в ТИК (ИКМО)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(п. 15 ст. 35 № 67-ФЗ; п. 5 ст. 15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чем за 5 дней до истечения периода, указанного в пункте 8 статьи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№ 41-з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июля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объединение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согласия кандидата,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выдвинутого этим избирательным объединением по многомандатному избирательному округу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избирателей в поддержку выдвижения кандидата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5, 7 ст. 37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 ст. 13, ст.16 № 41-з)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период, который начинается со дня, следующего за днем уведомления    ТИК (ИКМО) о выдвижении кандидата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 подписных листов и иных документов для регистрации кандидата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9 ст. 33, п. 15, 16 ст.37, п.1. ст. 38 № 67-ФЗ;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8 ст.13, п. 21, 22 ст. 16, п.1 ст. 19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21-00 часов за   45 дней до дня голосования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21-00 часов 3 августа 2016 года включительно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ТИК (ИКМО)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38 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2 ст. 19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41-з)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дня заседания ТИК (ИКМО),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уточнений и дополнений в документы, содержащие сведения о кандидате, и представленные в ТИК (ИКМО) в соответствии с пунктами 2 и 3 статьи 33 № 67-ФЗ, а также в иные документы (за исключением подписных листов с подписями избирателей), представленные в ТИК (ИКМО) для уведомления о выдвижении кандидата и его регистрации, в целях приведения указанных документов в соответствие с требованиями закона, в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к их оформлению.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копии какого-либо документа, представление которой предусмотрено пунктом 2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 33 № 67-ФЗ, пунктом 2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13 № 41-з, в случае ее отсутствия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38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2 ст. 19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заседания ТИК (ИКМО),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</w:t>
            </w:r>
          </w:p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18 ст. 38 № 67-ФЗ;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ст.19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23 ст. 38 № 67-ФЗ;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 ст. 19 № 41-з)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одних суток с момента принятия ТИК (ИКМО) решения об отказе в регистрации кандидата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Статус кандидатов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2 ст. 40 № 67-ФЗ; п. 2 ст. 20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пять дней со дня регистрации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доверенных лиц 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Представление доверенным лицом, являющимся государственным или муниципальным служащим,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ст. 43 № 67-ФЗ; п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2 ст. 22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Доверенное лицо кандидата (избирательного объединения), являющееся государственным или муниципальным служащим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1, 3 ст. 43 № 67-ФЗ; п. 1, 3 ст. 22 № 41-з)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быть доверенными лицами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rPr>
          <w:trHeight w:val="562"/>
        </w:trPr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кандидатом, избирательным объединением назначенных ими доверенных лиц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3 ст. 43 № 67-ФЗ; п. 3 ст. 22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любое время, уведомив об этом соответствующую комиссию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30 ст. 38 № 67-ФЗ; п. 14 ст. 19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12 сентября 2016 года, а при наличии вынуждающих к тому обстоятельств – не позднее 16 сентября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избирательного объединения отозвать кандидата, выдвинутого им по многомандатному</w:t>
            </w:r>
            <w:r w:rsidRPr="00987CD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32 ст. 38 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16 ст. 19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сентября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 выдвинувшее кандидата по многомандатному</w:t>
            </w:r>
            <w:r w:rsidRPr="00987CD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избирательному округу</w:t>
            </w:r>
          </w:p>
        </w:tc>
      </w:tr>
      <w:tr w:rsidR="00987CD2" w:rsidRPr="00987CD2" w:rsidTr="0014119D">
        <w:trPr>
          <w:cantSplit/>
          <w:trHeight w:val="279"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Информирование избирателей и предвыборная агитация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перечня муниципальных организаций телерадиовещания и муниципальных периодических печатных изданий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7, 8 ст. 47 № 67-ФЗ)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3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Опубликование перечня муниципальных организаций телерадиовещания и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периодических печатных изданий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7 ст. 47 № 67-ФЗ)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на пятнадцатый день после дня официального опубликования (публикации)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решения о назначении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8 июля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11 ст. 47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28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доступ к которым не ограничен определенным кругом лиц (включая сеть «Интернет»)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3 ст. 46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№ 67-ФЗ;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25 № 41-з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до дня голосования, а также в день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сентября по 18 сентября 2016 года включительно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987CD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обнаро</w:t>
            </w:r>
            <w:proofErr w:type="spellEnd"/>
            <w:r w:rsidRPr="00987CD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-дующие) </w:t>
            </w:r>
            <w:r w:rsidRPr="00987CD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результаты опросов общественного мнения, прогнозы результатов выборов, иные исследования, связанные с </w:t>
            </w:r>
            <w:proofErr w:type="gramStart"/>
            <w:r w:rsidRPr="00987CD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проводи-</w:t>
            </w:r>
            <w:proofErr w:type="spellStart"/>
            <w:r w:rsidRPr="00987CD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мыми</w:t>
            </w:r>
            <w:proofErr w:type="spellEnd"/>
            <w:proofErr w:type="gramEnd"/>
            <w:r w:rsidRPr="00987CD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выборами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Публикация политической партией, выдвинувшей кандидатов, которые зарегистрированы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предвыборной программы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 менее чем в одном государственном или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10 ст. 48 № 67-ФЗ)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 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 сентября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Политическая партия, выдвинувшая кандидатов, 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которые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арегистрированы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избирательного объединения, выдвинувшего кандидатов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(п.1 ст. 48, п. </w:t>
            </w:r>
            <w:r w:rsidRPr="00987C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0"/>
                <w:lang w:eastAsia="ru-RU"/>
              </w:rPr>
              <w:t xml:space="preserve">1 ст. 49 № 67-ФЗ; п. 1 ст. 27, </w:t>
            </w:r>
            <w:r w:rsidRPr="00987C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п. 1 ст. 28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 принятия избирательным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 принятия избирательным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объединением решения о выдвижении кандидатов и до ноля часов по местному времени 17 сентября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Избирательные объединения,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выдвинувшие кандидатов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кандидата, выдвинутого непосредственно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(п.1 ст. 48, п. </w:t>
            </w:r>
            <w:r w:rsidRPr="00987C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0"/>
                <w:lang w:eastAsia="ru-RU"/>
              </w:rPr>
              <w:t xml:space="preserve">1 ст. 49 № 67-ФЗ; п. 1 ст. 27, </w:t>
            </w:r>
            <w:r w:rsidRPr="00987C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п. 1 ст. 28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в ТИК (ИКМО) заявления о согласии баллотироваться, а в случае, предусмотренном </w:t>
            </w:r>
            <w:hyperlink w:anchor="P1344" w:history="1"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14</w:t>
              </w:r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статьи 35</w:t>
              </w:r>
            </w:hyperlink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67-ФЗ, - со дня представления в ТИК (ИКМО)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в ТИК (ИКМО) заявления о согласии баллотироваться, а в случае, предусмотренном </w:t>
            </w:r>
            <w:hyperlink w:anchor="P1344" w:history="1"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14</w:t>
              </w:r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статьи 35</w:t>
              </w:r>
            </w:hyperlink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67-ФЗ, - со дня представления в ТИК (ИКМО) документов, предусмотренных в указанном пункте, и до ноля часов по местному времени 17 сентября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п. 2 ст. 49 № 67-ФЗ;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ст. 28 № 41-з)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августа 2016 года до ноля часов по местному времени 17 сентября 2016 года 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избирательные объединения, граждане Российской Федерации, общественные объединения, которые имеют право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законом проводить предвыборную агитацию</w:t>
            </w:r>
          </w:p>
        </w:tc>
      </w:tr>
      <w:tr w:rsidR="00987CD2" w:rsidRPr="00987CD2" w:rsidTr="0014119D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ТИК (ИКМО)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 июля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987CD2" w:rsidRPr="00987CD2" w:rsidTr="0014119D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7CD2" w:rsidRPr="00987CD2" w:rsidRDefault="00987CD2" w:rsidP="00987CD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14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987CD2" w:rsidRPr="00987CD2" w:rsidTr="0014119D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2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завершения регистрации кандидатов, но 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32 дня до дня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завершения регистрации кандидатов, но не позднее 16 августа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Редакции муниципальных периодических печатных изданий с участием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</w:tr>
      <w:tr w:rsidR="00987CD2" w:rsidRPr="00987CD2" w:rsidTr="0014119D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                         28 сентября 2016 года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987CD2" w:rsidRPr="00987CD2" w:rsidTr="0014119D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Подача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организаторов митингов, демонстраций, шествий и пикетирований, носящих агитационный характер, в соответствии с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Федеральным законом от 19 июня 2004 года № 54-ФЗ «О собраниях митингах, демонстрациях, шествиях и пикетированиях»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(п. 2 ст. 53 № 67-ФЗ, ч. 1 ст. 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Организатор публичного мероприятия 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5 ст. 53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 ст. 31 № 41-з) 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подачи заявки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987CD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Собственник, владелец помещения,</w:t>
            </w:r>
            <w:r w:rsidRPr="00987CD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  <w:proofErr w:type="gramEnd"/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ТИК (ИКМО)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зарегистрированным кандидатам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 ст. 53 № 67-ФЗ; п. 4 ст. 31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Собственник, владелец помещения,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государственной или муниципальной собственности, собственности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  <w:proofErr w:type="gramEnd"/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53 № 67-ФЗ; п. 4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31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района, города, иного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пункта, где находится место его жительства), в ТИК (ИКМО)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54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 ст. 32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  <w:p w:rsidR="00987CD2" w:rsidRPr="00987CD2" w:rsidRDefault="00987CD2" w:rsidP="00987CD2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keepNext/>
              <w:spacing w:after="0" w:line="240" w:lineRule="auto"/>
              <w:jc w:val="both"/>
              <w:outlineLvl w:val="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Не позднее 23 июля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кандидатом в ТИК (ИКМО)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  <w:proofErr w:type="gramEnd"/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3 ст. 54 № 67-ФЗ; п. 2 ст. 32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41-з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7 ст. 54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6 ст. 32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 августа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Органы местного самоуправления по предложению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7 ст. 54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6 ст. 32 № 41-з)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Финансирование выборов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1 ст. 57 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1 ст. 33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2 июля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уполномоченного представителя кандидата по финансовым вопросам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3 ст. 58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ст. 34 № 41-з)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представления в ТИК (ИКМО) заявления кандидата, доверенности, выданной в порядке, установленном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федеральными законами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1, 11 ст. 58 № 67-ФЗ; п. 1, 11 ст. 34 № 41-з; 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открытия, ведения и закрытия специальных избирательных счетов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уведомления ТИК (ИКМО) о выдвижении (самовыдвижении) кандидата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1, 11 ст. 58 № 67-ФЗ;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1, 11, 15, 16 ст. 34 № 41-з; Порядок)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предъявления в филиал публичного акционерного общества «Сбербанк 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представителем кандидата по финансовым вопросам) документа, выдаваемого ТИК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(ИКМО)</w:t>
            </w: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документов, предусмотренных № 41-з и Порядком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(уполномоченный представитель кандидата по финансовым вопросам),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публичного акционерного общества «Сбербанк России», а при его отсутствии на территории соответствующего муниципального района – другая кредитная организация, расположенная на территории муниципального района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 xml:space="preserve">Представление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  <w:r w:rsidRPr="00987CD2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дств св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 xml:space="preserve"> (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 9 ст. 59 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Кандидат</w:t>
            </w:r>
          </w:p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9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59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пять дней со дня их получения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Публикация копий финансовых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кандидатов,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переданных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9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59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 67-ФЗ;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их получения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о поступлении и расходовании средств, находящихся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избирательном счете данного кандидата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7 ст. 59 № 67-ФЗ;  п. 7 ст. 35 № 41-з)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Периодически по требованию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Кредитная организация,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открыт специальный избирательный счет кандидата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ТИК (ИКМО)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избирательному фонду кандидата – также по требованию кандидата)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7 ст. 59 № 67-ФЗ; п. 7 ст. 35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за три дня до дня голосования – немедленно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с 14 сентября               2016 года – немедленно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Кредитная организация,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открыт специальный избирательный счет кандидата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8 ст. 59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п.8 ст. 35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  <w:p w:rsidR="00987CD2" w:rsidRPr="00987CD2" w:rsidRDefault="00987CD2" w:rsidP="00987CD2">
            <w:pPr>
              <w:widowControl w:val="0"/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                    до 18 сентября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передаваемых ТИК (ИКМО)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для опубликования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поступлении и расходовании средств избирательных фондов кандидатов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8 ст. 59 № 67-ФЗ; п. 8 ст. 35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дней со дня их получения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13 ст. 58 № 67-ФЗ; п. 13 ст. 34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  <w:p w:rsidR="00987CD2" w:rsidRPr="00987CD2" w:rsidRDefault="00987CD2" w:rsidP="00987CD2">
            <w:pPr>
              <w:widowControl w:val="0"/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                    до 18 сентября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Смоленской области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ТИК (ИКМО)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13 ст. 59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13. ст. 35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поступления представления ТИК (ИКМО)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регистрацион-ного</w:t>
            </w:r>
            <w:proofErr w:type="spellEnd"/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-дарственную регистрацию юридических лиц либо уполномоченные в сфере регистрации </w:t>
            </w:r>
            <w:proofErr w:type="spell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некоммер-ческих</w:t>
            </w:r>
            <w:proofErr w:type="spell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пунктов 7</w:t>
              </w:r>
            </w:hyperlink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1989" w:history="1"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58 № 67-ФЗ, </w:t>
            </w:r>
            <w:hyperlink w:anchor="Par1988" w:history="1"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пунктов 7</w:t>
              </w:r>
            </w:hyperlink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1989" w:history="1">
              <w:r w:rsidRPr="00987C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9 ст. 58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9 ст. 34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Перечисление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пожертвований, внесенных анонимным жертвователем,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доход местного бюджета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не превышающий 10 дней со дня поступления этих средств на специальный счет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избирательного фонда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11 ст. 59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п. 11 ст. 35 № 41-з)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дня голосования до предоставления итогового финансового отчета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18 сентября 2016  года до представления</w:t>
            </w: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Перечисление в доход местного бюджета по письменному указанию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  <w:r w:rsidRPr="00987C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остатков неизрасходованных денежных средств, находящихся на специальном избирательном счете кандидата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11 ст. 59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11 ст. 35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60 дней со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 ноября 2016 года 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Кредитная организация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 (ИКМО) 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 ст. 33 № 41-з)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 сентября 2016 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комиссия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 ст. 33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rPr>
          <w:cantSplit/>
        </w:trPr>
        <w:tc>
          <w:tcPr>
            <w:tcW w:w="14850" w:type="dxa"/>
            <w:gridSpan w:val="6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Голосование и определение результатов выборов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 избирательных бюллетеней 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ст. 63 № 67-ФЗ;</w:t>
            </w: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 августа 2016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закупки избирательных бюллетеней</w:t>
            </w:r>
          </w:p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избирательных бюллетеней по распоряжению ТИК (ИКМО) 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 ст. 63 № 67-ФЗ; п. 2</w:t>
            </w: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от полиграфической организации членам ТИК (ИКМО), осуществившей закупку бюллетеней,</w:t>
            </w: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уничтожения лишних избирательных бюллетеней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11 ст. 63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получения от полиграфической организации</w:t>
            </w:r>
            <w:r w:rsidRPr="0098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членов ТИК (ИКМО),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987CD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14 ст. 63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12 ст. 38 № 41-з)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по акту: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12, 13 ст. 63, п. 3 ст. 65 № 67-ФЗ; п. 10, 11 ст.38 № 41-з)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участковым комиссиям</w:t>
            </w:r>
          </w:p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установленный ТИК (ИКМО), но 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день до дня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                         16 сентября 2016 года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</w:t>
            </w: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способов защиты открепительных удостоверений от подделки при их изготовлении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3 ст. 62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п. 1 ст. 37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60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 июля 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закупки открепительных удостоверений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(п. 5 ст. 62 № 67-ФЗ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п. 3 ст. 37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текста, числа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открепительных удостоверений, определения способов защиты открепительных удостоверений от подделки при их изготовлении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Передача открепительных удостоверений:</w:t>
            </w:r>
          </w:p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(ст. 62 № 67-ФЗ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п. 4, 5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ст. 37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 41-з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постановление Центральной избирательной комиссии Российской Федерации от 16 марта 2016 года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328/1863-6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Порядке передачи открепительных удостоверений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избирательным комиссиям, комиссиям референдума и учета открепительных удостоверений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постановление ЦИК РФ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proofErr w:type="gramEnd"/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участковые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46 дней до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 августа 2016 года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сентября 2016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Направление в участковые комиссии вместе с первым экземпляром списка избирателей заверенных выписок из реестра выдачи открепительных удостоверений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(п. 9 ст. 62 № 67-ФЗ, п. 8 ст. ст. 37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сентября 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открепительных удостоверений избирателям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1, 2 ст. 62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№ 67-ФЗ; п. 5 ст. 80 Федерального закона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22 февраля 2014 года № 20-ФЗ «О выборах депутатов Государственной Думы Федерального Собрания Российской Федерации»;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п. 4, 5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37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41-з; постановление ЦИК РФ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):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участковых комиссиях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За 45–11 дней до дня голосования</w:t>
            </w:r>
          </w:p>
          <w:p w:rsidR="00987CD2" w:rsidRPr="00987CD2" w:rsidRDefault="00987CD2" w:rsidP="00987CD2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10 и менее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августа 2016 года по 6 сентября 2016 года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сентября 2016 года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 сентября                 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комиссия </w:t>
            </w:r>
          </w:p>
        </w:tc>
      </w:tr>
      <w:tr w:rsidR="00987CD2" w:rsidRPr="00987CD2" w:rsidTr="0014119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избирателей о дне, времени и месте голосования через средства массовой информации или иным способом </w:t>
            </w:r>
          </w:p>
          <w:p w:rsidR="00987CD2" w:rsidRPr="00987CD2" w:rsidRDefault="00987CD2" w:rsidP="00987CD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 ст. 64 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 </w:t>
            </w:r>
          </w:p>
          <w:p w:rsidR="00987CD2" w:rsidRPr="00987CD2" w:rsidRDefault="00987CD2" w:rsidP="0098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2016 года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комиссия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голосования </w:t>
            </w:r>
          </w:p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 ст. 64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 ст. 81 Федерального закона от 22 февраля 2014 года № 20-ФЗ «О выборах депутатов Государственной Думы Федерального Собрания Российской Федерации»; п. 2 ст. 7, п.1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 воскресенье сентября 2016 года – в день голосования на выборах депутатов Государственной Думы Федерального Собрания Российской Федерации седьмого созыва, если сроки полномочий органов местного самоуправления или депутатов указанных органов истекают в год проведения  указанных выборов, с 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сентября                  2016 года с 8.00 до 20.00 часов по местному времени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комиссия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987CD2" w:rsidRPr="00987CD2" w:rsidRDefault="00987CD2" w:rsidP="00987CD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 ст. 66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5 ст. 41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41-з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В любое время в течение 10 дней до дня голосования,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но не позднее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В любое время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с 8 сентября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2016 года,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но не позднее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14 часов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местному времени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18 сентября </w:t>
            </w:r>
          </w:p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2016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7CD2" w:rsidRPr="00987CD2" w:rsidRDefault="00987CD2" w:rsidP="009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98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могут самостоятельно по уважительным причинам (по состоянию здоровья, инвалидности,</w:t>
            </w:r>
            <w:r w:rsidRPr="0098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находящиеся в местах содержания под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стражей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подозреваемых и обвиняемых) прибыть в помещение для голосования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 68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43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комиссия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протоколов об итогах голосования по требованию</w:t>
            </w:r>
            <w:r w:rsidRPr="00987CD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участковой комиссии, наблюдателя, иных лиц, указанных в пункте 3 статьи 30 № 67-ФЗ</w:t>
            </w:r>
          </w:p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29 ст. 68 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29 ст. 43 № 41-з)</w:t>
            </w:r>
          </w:p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комиссия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Направление первого экземпляра протокола об итогах голосования в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  <w:r w:rsidRPr="00987C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(п. 30 ст. 68 № 67-ФЗ; п. 30 ст. 43, п.1 ст. 45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комиссия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многомандатным избирательным округам </w:t>
            </w:r>
          </w:p>
          <w:p w:rsidR="00987CD2" w:rsidRPr="00987CD2" w:rsidRDefault="00987CD2" w:rsidP="00987CD2">
            <w:pPr>
              <w:widowControl w:val="0"/>
              <w:tabs>
                <w:tab w:val="left" w:pos="48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1 ст. 70 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 ст. 45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3 день со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сентября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депутатов представительного органа муниципального образования по многомандатным избирательным округам в средства массовой информации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(п.2. ст.72 № 67-ФЗ; п. 2 ст. 47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сентября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keepNext/>
              <w:widowControl w:val="0"/>
              <w:spacing w:after="0" w:line="228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(п. 6 ст. 70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67-ФЗ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п. 8 ст. 45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 41-з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</w:t>
            </w:r>
            <w:r w:rsidRPr="0098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 ст. 70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8 ст. 45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41-з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пятидневный срок после извещения кандидата об избрании его депутатом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Зарегистрированный кандидат, избранный депутатом 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результатов выборов депутатов представительного органа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3 ст. 72 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3 ст. 47 № 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987CD2" w:rsidRPr="00987CD2" w:rsidTr="0014119D">
        <w:tc>
          <w:tcPr>
            <w:tcW w:w="675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379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полных данных о результатах выборов депутатов представительного органа муниципального образования (данных, которые содержатся в протоколе ТИК (ИКМО)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ТИК (ИКМО) </w:t>
            </w:r>
            <w:proofErr w:type="gramEnd"/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 ст. 72 </w:t>
            </w:r>
            <w:r w:rsidRPr="00987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67-ФЗ;</w:t>
            </w: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4 ст. 47 № 41-з)</w:t>
            </w: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двух месяцев со дня голосования</w:t>
            </w:r>
          </w:p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двух месяцев со дня голосования, но не позднее 18 ноября 2016 года</w:t>
            </w:r>
          </w:p>
        </w:tc>
        <w:tc>
          <w:tcPr>
            <w:tcW w:w="2976" w:type="dxa"/>
            <w:gridSpan w:val="2"/>
          </w:tcPr>
          <w:p w:rsidR="00987CD2" w:rsidRPr="00987CD2" w:rsidRDefault="00987CD2" w:rsidP="0098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</w:tbl>
    <w:p w:rsidR="00987CD2" w:rsidRPr="00987CD2" w:rsidRDefault="00987CD2" w:rsidP="00987C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x-none" w:eastAsia="x-none"/>
        </w:rPr>
      </w:pPr>
    </w:p>
    <w:p w:rsidR="000A602B" w:rsidRDefault="000A602B"/>
    <w:sectPr w:rsidR="000A602B" w:rsidSect="00900276">
      <w:headerReference w:type="even" r:id="rId8"/>
      <w:headerReference w:type="default" r:id="rId9"/>
      <w:footerReference w:type="first" r:id="rId10"/>
      <w:pgSz w:w="16840" w:h="11907" w:orient="landscape" w:code="9"/>
      <w:pgMar w:top="1131" w:right="851" w:bottom="425" w:left="1701" w:header="426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4E" w:rsidRDefault="0023314E" w:rsidP="00987CD2">
      <w:pPr>
        <w:spacing w:after="0" w:line="240" w:lineRule="auto"/>
      </w:pPr>
      <w:r>
        <w:separator/>
      </w:r>
    </w:p>
  </w:endnote>
  <w:endnote w:type="continuationSeparator" w:id="0">
    <w:p w:rsidR="0023314E" w:rsidRDefault="0023314E" w:rsidP="0098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B8" w:rsidRPr="00E2606F" w:rsidRDefault="00443104" w:rsidP="00740AB8">
    <w:pPr>
      <w:pStyle w:val="a5"/>
      <w:jc w:val="right"/>
      <w:rPr>
        <w:lang w:val="ru-RU"/>
      </w:rPr>
    </w:pPr>
    <w:r>
      <w:rPr>
        <w:lang w:val="ru-RU"/>
      </w:rPr>
      <w:t>007300*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4E" w:rsidRDefault="0023314E" w:rsidP="00987CD2">
      <w:pPr>
        <w:spacing w:after="0" w:line="240" w:lineRule="auto"/>
      </w:pPr>
      <w:r>
        <w:separator/>
      </w:r>
    </w:p>
  </w:footnote>
  <w:footnote w:type="continuationSeparator" w:id="0">
    <w:p w:rsidR="0023314E" w:rsidRDefault="0023314E" w:rsidP="00987CD2">
      <w:pPr>
        <w:spacing w:after="0" w:line="240" w:lineRule="auto"/>
      </w:pPr>
      <w:r>
        <w:continuationSeparator/>
      </w:r>
    </w:p>
  </w:footnote>
  <w:footnote w:id="1">
    <w:p w:rsidR="00987CD2" w:rsidRPr="00987CD2" w:rsidRDefault="00987CD2" w:rsidP="00987CD2">
      <w:pPr>
        <w:pStyle w:val="af3"/>
        <w:jc w:val="both"/>
      </w:pPr>
      <w:r w:rsidRPr="00987CD2">
        <w:rPr>
          <w:rStyle w:val="af2"/>
        </w:rPr>
        <w:footnoteRef/>
      </w:r>
      <w:r w:rsidRPr="00987CD2"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987CD2" w:rsidRPr="00987CD2" w:rsidRDefault="00987CD2" w:rsidP="00987CD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987CD2">
        <w:rPr>
          <w:rStyle w:val="af2"/>
          <w:rFonts w:ascii="Times New Roman" w:hAnsi="Times New Roman" w:cs="Times New Roman"/>
        </w:rPr>
        <w:footnoteRef/>
      </w:r>
      <w:r w:rsidRPr="00987CD2">
        <w:rPr>
          <w:rFonts w:ascii="Times New Roman" w:hAnsi="Times New Roman" w:cs="Times New Roman"/>
        </w:rPr>
        <w:t>Областной закон от 3 июля 2003 года № 41-з «О выборах органов местного самоуправления в Смоленской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07" w:rsidRDefault="004431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C07" w:rsidRDefault="00233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3A" w:rsidRPr="005A7845" w:rsidRDefault="0023314E">
    <w:pPr>
      <w:pStyle w:val="a3"/>
      <w:jc w:val="center"/>
      <w:rPr>
        <w:lang w:val="ru-RU"/>
      </w:rPr>
    </w:pPr>
  </w:p>
  <w:p w:rsidR="00D9563A" w:rsidRPr="00D9563A" w:rsidRDefault="0023314E" w:rsidP="00D9563A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7B"/>
    <w:rsid w:val="000A602B"/>
    <w:rsid w:val="0023314E"/>
    <w:rsid w:val="0039078E"/>
    <w:rsid w:val="00443104"/>
    <w:rsid w:val="005A7845"/>
    <w:rsid w:val="0083117B"/>
    <w:rsid w:val="00987CD2"/>
    <w:rsid w:val="00D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CD2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7CD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87CD2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7CD2"/>
    <w:pPr>
      <w:keepNext/>
      <w:tabs>
        <w:tab w:val="left" w:pos="9356"/>
      </w:tabs>
      <w:spacing w:after="0" w:line="240" w:lineRule="auto"/>
      <w:ind w:left="5387" w:right="-1"/>
      <w:jc w:val="center"/>
      <w:outlineLvl w:val="3"/>
    </w:pPr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CD2"/>
    <w:pPr>
      <w:keepNext/>
      <w:tabs>
        <w:tab w:val="left" w:pos="9356"/>
      </w:tabs>
      <w:spacing w:after="0" w:line="240" w:lineRule="auto"/>
      <w:ind w:left="5387" w:right="-1"/>
      <w:jc w:val="center"/>
      <w:outlineLvl w:val="4"/>
    </w:pPr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87CD2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987CD2"/>
    <w:pPr>
      <w:keepNext/>
      <w:widowControl w:val="0"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7CD2"/>
    <w:pPr>
      <w:keepNext/>
      <w:spacing w:after="0" w:line="240" w:lineRule="auto"/>
      <w:ind w:right="-86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7CD2"/>
    <w:pPr>
      <w:keepNext/>
      <w:widowControl w:val="0"/>
      <w:suppressAutoHyphens/>
      <w:spacing w:after="0" w:line="240" w:lineRule="auto"/>
      <w:ind w:left="4536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CD2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7CD2"/>
    <w:rPr>
      <w:rFonts w:ascii="Times New Roman CYR" w:eastAsia="Times New Roman" w:hAnsi="Times New Roman CYR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7CD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CD2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CD2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CD2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87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7C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CD2"/>
  </w:style>
  <w:style w:type="paragraph" w:styleId="a3">
    <w:name w:val="header"/>
    <w:basedOn w:val="a"/>
    <w:link w:val="a4"/>
    <w:uiPriority w:val="99"/>
    <w:rsid w:val="00987CD2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87CD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987CD2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987CD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7">
    <w:name w:val="page number"/>
    <w:basedOn w:val="a0"/>
    <w:semiHidden/>
    <w:rsid w:val="00987CD2"/>
  </w:style>
  <w:style w:type="paragraph" w:customStyle="1" w:styleId="21">
    <w:name w:val="Основной текст 21"/>
    <w:basedOn w:val="a"/>
    <w:rsid w:val="00987CD2"/>
    <w:pPr>
      <w:spacing w:after="0" w:line="360" w:lineRule="auto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987CD2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987CD2"/>
    <w:pPr>
      <w:keepNext/>
      <w:spacing w:before="120" w:after="80" w:line="240" w:lineRule="auto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rsid w:val="00987CD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1"/>
    <w:rsid w:val="00987CD2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987CD2"/>
    <w:pPr>
      <w:spacing w:before="120" w:after="120" w:line="360" w:lineRule="auto"/>
      <w:jc w:val="center"/>
    </w:pPr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87CD2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semiHidden/>
    <w:rsid w:val="00987CD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87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987CD2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87C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987C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e">
    <w:name w:val="Название Знак"/>
    <w:basedOn w:val="a0"/>
    <w:link w:val="ad"/>
    <w:rsid w:val="00987CD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3">
    <w:name w:val="текст сноски1"/>
    <w:basedOn w:val="a"/>
    <w:rsid w:val="00987CD2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текст сноски"/>
    <w:basedOn w:val="a"/>
    <w:rsid w:val="00987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987CD2"/>
    <w:pPr>
      <w:spacing w:after="0" w:line="240" w:lineRule="auto"/>
      <w:ind w:right="3827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987CD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14-1">
    <w:name w:val="Текст 14-1"/>
    <w:aliases w:val="5,Т-1"/>
    <w:basedOn w:val="a"/>
    <w:rsid w:val="00987CD2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987C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87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987CD2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Title">
    <w:name w:val="ConsTitle"/>
    <w:rsid w:val="00987CD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footnote reference"/>
    <w:semiHidden/>
    <w:rsid w:val="00987CD2"/>
    <w:rPr>
      <w:vertAlign w:val="superscript"/>
    </w:rPr>
  </w:style>
  <w:style w:type="paragraph" w:customStyle="1" w:styleId="ConsNonformat">
    <w:name w:val="ConsNonformat"/>
    <w:rsid w:val="00987CD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987C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987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note text"/>
    <w:basedOn w:val="a"/>
    <w:link w:val="af4"/>
    <w:semiHidden/>
    <w:rsid w:val="0098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87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987CD2"/>
    <w:rPr>
      <w:vertAlign w:val="superscript"/>
    </w:rPr>
  </w:style>
  <w:style w:type="paragraph" w:customStyle="1" w:styleId="ConsPlusNormal">
    <w:name w:val="ConsPlusNormal"/>
    <w:rsid w:val="00987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98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CD2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7CD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87CD2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7CD2"/>
    <w:pPr>
      <w:keepNext/>
      <w:tabs>
        <w:tab w:val="left" w:pos="9356"/>
      </w:tabs>
      <w:spacing w:after="0" w:line="240" w:lineRule="auto"/>
      <w:ind w:left="5387" w:right="-1"/>
      <w:jc w:val="center"/>
      <w:outlineLvl w:val="3"/>
    </w:pPr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CD2"/>
    <w:pPr>
      <w:keepNext/>
      <w:tabs>
        <w:tab w:val="left" w:pos="9356"/>
      </w:tabs>
      <w:spacing w:after="0" w:line="240" w:lineRule="auto"/>
      <w:ind w:left="5387" w:right="-1"/>
      <w:jc w:val="center"/>
      <w:outlineLvl w:val="4"/>
    </w:pPr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87CD2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987CD2"/>
    <w:pPr>
      <w:keepNext/>
      <w:widowControl w:val="0"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7CD2"/>
    <w:pPr>
      <w:keepNext/>
      <w:spacing w:after="0" w:line="240" w:lineRule="auto"/>
      <w:ind w:right="-86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7CD2"/>
    <w:pPr>
      <w:keepNext/>
      <w:widowControl w:val="0"/>
      <w:suppressAutoHyphens/>
      <w:spacing w:after="0" w:line="240" w:lineRule="auto"/>
      <w:ind w:left="4536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CD2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7CD2"/>
    <w:rPr>
      <w:rFonts w:ascii="Times New Roman CYR" w:eastAsia="Times New Roman" w:hAnsi="Times New Roman CYR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7CD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CD2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CD2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CD2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87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7C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CD2"/>
  </w:style>
  <w:style w:type="paragraph" w:styleId="a3">
    <w:name w:val="header"/>
    <w:basedOn w:val="a"/>
    <w:link w:val="a4"/>
    <w:uiPriority w:val="99"/>
    <w:rsid w:val="00987CD2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87CD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987CD2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987CD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7">
    <w:name w:val="page number"/>
    <w:basedOn w:val="a0"/>
    <w:semiHidden/>
    <w:rsid w:val="00987CD2"/>
  </w:style>
  <w:style w:type="paragraph" w:customStyle="1" w:styleId="21">
    <w:name w:val="Основной текст 21"/>
    <w:basedOn w:val="a"/>
    <w:rsid w:val="00987CD2"/>
    <w:pPr>
      <w:spacing w:after="0" w:line="360" w:lineRule="auto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987CD2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987CD2"/>
    <w:pPr>
      <w:keepNext/>
      <w:spacing w:before="120" w:after="80" w:line="240" w:lineRule="auto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rsid w:val="00987CD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1"/>
    <w:rsid w:val="00987CD2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987CD2"/>
    <w:pPr>
      <w:spacing w:before="120" w:after="120" w:line="360" w:lineRule="auto"/>
      <w:jc w:val="center"/>
    </w:pPr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87CD2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semiHidden/>
    <w:rsid w:val="00987CD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87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987CD2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87C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87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987C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e">
    <w:name w:val="Название Знак"/>
    <w:basedOn w:val="a0"/>
    <w:link w:val="ad"/>
    <w:rsid w:val="00987CD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3">
    <w:name w:val="текст сноски1"/>
    <w:basedOn w:val="a"/>
    <w:rsid w:val="00987CD2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текст сноски"/>
    <w:basedOn w:val="a"/>
    <w:rsid w:val="00987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987CD2"/>
    <w:pPr>
      <w:spacing w:after="0" w:line="240" w:lineRule="auto"/>
      <w:ind w:right="3827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987CD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14-1">
    <w:name w:val="Текст 14-1"/>
    <w:aliases w:val="5,Т-1"/>
    <w:basedOn w:val="a"/>
    <w:rsid w:val="00987CD2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987C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87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987CD2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Title">
    <w:name w:val="ConsTitle"/>
    <w:rsid w:val="00987CD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footnote reference"/>
    <w:semiHidden/>
    <w:rsid w:val="00987CD2"/>
    <w:rPr>
      <w:vertAlign w:val="superscript"/>
    </w:rPr>
  </w:style>
  <w:style w:type="paragraph" w:customStyle="1" w:styleId="ConsNonformat">
    <w:name w:val="ConsNonformat"/>
    <w:rsid w:val="00987CD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987C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987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note text"/>
    <w:basedOn w:val="a"/>
    <w:link w:val="af4"/>
    <w:semiHidden/>
    <w:rsid w:val="0098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87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987CD2"/>
    <w:rPr>
      <w:vertAlign w:val="superscript"/>
    </w:rPr>
  </w:style>
  <w:style w:type="paragraph" w:customStyle="1" w:styleId="ConsPlusNormal">
    <w:name w:val="ConsPlusNormal"/>
    <w:rsid w:val="00987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98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2016-06-23T12:14:00Z</dcterms:created>
  <dcterms:modified xsi:type="dcterms:W3CDTF">2016-06-23T13:25:00Z</dcterms:modified>
</cp:coreProperties>
</file>